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急救转运专用监护仪招标参数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产品适用于院内转运、院外转运、急诊科床边监护、手术室、ICU、CCU</w:t>
      </w:r>
      <w:r>
        <w:rPr>
          <w:rFonts w:hint="eastAsia" w:asciiTheme="minorEastAsia" w:hAnsiTheme="minorEastAsia" w:eastAsiaTheme="minorEastAsia"/>
          <w:color w:val="000000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NICU</w:t>
      </w:r>
      <w:r>
        <w:rPr>
          <w:rFonts w:hint="eastAsia" w:asciiTheme="minorEastAsia" w:hAnsiTheme="minorEastAsia" w:eastAsiaTheme="minorEastAsia"/>
          <w:color w:val="000000"/>
          <w:szCs w:val="21"/>
        </w:rPr>
        <w:t>病房监护及床边监护的急救转运监护仪。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≦4.3英寸彩色触摸屏显示，触摸操作。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仪器具有主菜单、血压测量、报警消除等快捷按键，方便医护人员操作。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★</w:t>
      </w:r>
      <w:bookmarkStart w:id="0" w:name="_GoBack"/>
      <w:bookmarkEnd w:id="0"/>
      <w:r>
        <w:rPr>
          <w:rFonts w:hint="eastAsia"/>
          <w:szCs w:val="21"/>
        </w:rPr>
        <w:t>可作为复合参数模块接入大主机工作，与大主机进行数据交换，前后双屏同时显示。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="宋体" w:hAnsi="宋体"/>
          <w:szCs w:val="21"/>
        </w:rPr>
        <w:t>★</w:t>
      </w:r>
      <w:r>
        <w:rPr>
          <w:rFonts w:hint="eastAsia" w:asciiTheme="minorEastAsia" w:hAnsiTheme="minorEastAsia" w:eastAsiaTheme="minorEastAsia"/>
        </w:rPr>
        <w:t>主机自带固定式提手，无需外接转运底座。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★</w:t>
      </w:r>
      <w:r>
        <w:rPr>
          <w:rFonts w:hint="eastAsia" w:cs="Arial" w:asciiTheme="minorEastAsia" w:hAnsiTheme="minorEastAsia" w:eastAsiaTheme="minorEastAsia"/>
          <w:kern w:val="0"/>
          <w:szCs w:val="21"/>
        </w:rPr>
        <w:t>可配急救监护专用包，防水抗震，可放置急救用品，便于野外携带和使用。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支持3/5/12导联ECG测量，具有智能导联脱落和多导同步分析功能。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心率测量范围：成人15-300bpm，小儿/新生儿15-350bpm，分辨率±</w:t>
      </w:r>
      <w:r>
        <w:rPr>
          <w:rFonts w:asciiTheme="minorEastAsia" w:hAnsiTheme="minorEastAsia" w:eastAsiaTheme="minorEastAsia"/>
        </w:rPr>
        <w:t>1bp</w:t>
      </w:r>
      <w:r>
        <w:rPr>
          <w:rFonts w:hint="eastAsia" w:asciiTheme="minorEastAsia" w:hAnsiTheme="minorEastAsia" w:eastAsiaTheme="minorEastAsia"/>
        </w:rPr>
        <w:t>m。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呼吸测量范围：成人0-120rpm，小儿/新生儿0-150rpm。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窒息报警范围：成人10-60s，儿童/新生儿10-20s，测量误差为±5s。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可选全球金标准的Masimo血氧，测量范围为</w:t>
      </w:r>
      <w:r>
        <w:rPr>
          <w:rFonts w:asciiTheme="minorEastAsia" w:hAnsiTheme="minorEastAsia" w:eastAsiaTheme="minorEastAsia"/>
          <w:color w:val="000000"/>
          <w:szCs w:val="21"/>
        </w:rPr>
        <w:t xml:space="preserve">1 </w:t>
      </w:r>
      <w:r>
        <w:rPr>
          <w:rFonts w:hint="eastAsia" w:asciiTheme="minorEastAsia" w:hAnsiTheme="minorEastAsia" w:eastAsiaTheme="minorEastAsia"/>
          <w:color w:val="000000"/>
          <w:szCs w:val="21"/>
        </w:rPr>
        <w:t>％～</w:t>
      </w:r>
      <w:r>
        <w:rPr>
          <w:rFonts w:asciiTheme="minorEastAsia" w:hAnsiTheme="minorEastAsia" w:eastAsiaTheme="minorEastAsia"/>
          <w:color w:val="000000"/>
          <w:szCs w:val="21"/>
        </w:rPr>
        <w:t>100</w:t>
      </w:r>
      <w:r>
        <w:rPr>
          <w:rFonts w:hint="eastAsia" w:asciiTheme="minorEastAsia" w:hAnsiTheme="minorEastAsia" w:eastAsiaTheme="minorEastAsia"/>
          <w:color w:val="000000"/>
          <w:szCs w:val="21"/>
        </w:rPr>
        <w:t>％；在</w:t>
      </w:r>
      <w:r>
        <w:rPr>
          <w:rFonts w:asciiTheme="minorEastAsia" w:hAnsiTheme="minorEastAsia" w:eastAsiaTheme="minorEastAsia"/>
          <w:color w:val="000000"/>
          <w:szCs w:val="21"/>
        </w:rPr>
        <w:t>70</w:t>
      </w:r>
      <w:r>
        <w:rPr>
          <w:rFonts w:hint="eastAsia" w:asciiTheme="minorEastAsia" w:hAnsiTheme="minorEastAsia" w:eastAsiaTheme="minorEastAsia"/>
          <w:color w:val="000000"/>
          <w:szCs w:val="21"/>
        </w:rPr>
        <w:t>％～</w:t>
      </w:r>
      <w:r>
        <w:rPr>
          <w:rFonts w:asciiTheme="minorEastAsia" w:hAnsiTheme="minorEastAsia" w:eastAsiaTheme="minorEastAsia"/>
          <w:color w:val="000000"/>
          <w:szCs w:val="21"/>
        </w:rPr>
        <w:t>100</w:t>
      </w:r>
      <w:r>
        <w:rPr>
          <w:rFonts w:hint="eastAsia" w:asciiTheme="minorEastAsia" w:hAnsiTheme="minorEastAsia" w:eastAsiaTheme="minorEastAsia"/>
          <w:color w:val="000000"/>
          <w:szCs w:val="21"/>
        </w:rPr>
        <w:t>％范围内，成人</w:t>
      </w:r>
      <w:r>
        <w:rPr>
          <w:rFonts w:asciiTheme="minorEastAsia" w:hAnsiTheme="minorEastAsia" w:eastAsiaTheme="minorEastAsia"/>
          <w:color w:val="000000"/>
          <w:szCs w:val="21"/>
        </w:rPr>
        <w:t>/</w:t>
      </w:r>
      <w:r>
        <w:rPr>
          <w:rFonts w:hint="eastAsia" w:asciiTheme="minorEastAsia" w:hAnsiTheme="minorEastAsia" w:eastAsiaTheme="minorEastAsia"/>
          <w:color w:val="000000"/>
          <w:szCs w:val="21"/>
        </w:rPr>
        <w:t>儿童测量精度为±</w:t>
      </w:r>
      <w:r>
        <w:rPr>
          <w:rFonts w:asciiTheme="minorEastAsia" w:hAnsiTheme="minorEastAsia" w:eastAsiaTheme="minorEastAsia"/>
          <w:color w:val="000000"/>
          <w:szCs w:val="21"/>
        </w:rPr>
        <w:t>2</w:t>
      </w:r>
      <w:r>
        <w:rPr>
          <w:rFonts w:hint="eastAsia" w:asciiTheme="minorEastAsia" w:hAnsiTheme="minorEastAsia" w:eastAsiaTheme="minorEastAsia"/>
          <w:color w:val="000000"/>
          <w:szCs w:val="21"/>
        </w:rPr>
        <w:t>％（非运动状态下）、±</w:t>
      </w:r>
      <w:r>
        <w:rPr>
          <w:rFonts w:asciiTheme="minorEastAsia" w:hAnsiTheme="minorEastAsia" w:eastAsiaTheme="minorEastAsia"/>
          <w:color w:val="000000"/>
          <w:szCs w:val="21"/>
        </w:rPr>
        <w:t>3</w:t>
      </w:r>
      <w:r>
        <w:rPr>
          <w:rFonts w:hint="eastAsia" w:asciiTheme="minorEastAsia" w:hAnsiTheme="minorEastAsia" w:eastAsiaTheme="minorEastAsia"/>
          <w:color w:val="000000"/>
          <w:szCs w:val="21"/>
        </w:rPr>
        <w:t>％（运动状态下），新生儿为±</w:t>
      </w:r>
      <w:r>
        <w:rPr>
          <w:rFonts w:asciiTheme="minorEastAsia" w:hAnsiTheme="minorEastAsia" w:eastAsiaTheme="minorEastAsia"/>
          <w:color w:val="000000"/>
          <w:szCs w:val="21"/>
        </w:rPr>
        <w:t>3</w:t>
      </w:r>
      <w:r>
        <w:rPr>
          <w:rFonts w:hint="eastAsia" w:asciiTheme="minorEastAsia" w:hAnsiTheme="minorEastAsia" w:eastAsiaTheme="minorEastAsia"/>
          <w:color w:val="000000"/>
          <w:szCs w:val="21"/>
        </w:rPr>
        <w:t>％（非运动状态和运动状态下）。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具有灌注指数PI显示，</w:t>
      </w:r>
      <w:r>
        <w:rPr>
          <w:rFonts w:hint="eastAsia" w:ascii="宋体" w:hAnsi="宋体"/>
          <w:szCs w:val="21"/>
        </w:rPr>
        <w:t>帮助医生判断测量结果的可靠性。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NIBP静态压力测量范围：0-300mmHg，精度</w:t>
      </w:r>
      <w:r>
        <w:rPr>
          <w:rFonts w:hint="eastAsia" w:asciiTheme="minorEastAsia" w:hAnsiTheme="minorEastAsia" w:eastAsiaTheme="minorEastAsia"/>
        </w:rPr>
        <w:t>±3mmHg。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NIBP</w:t>
      </w:r>
      <w:r>
        <w:rPr>
          <w:rFonts w:hint="eastAsia" w:ascii="宋体" w:hAnsi="宋体"/>
          <w:szCs w:val="21"/>
        </w:rPr>
        <w:t>具有手动、自动、连续测量模式，</w:t>
      </w:r>
      <w:r>
        <w:rPr>
          <w:rFonts w:hint="eastAsia" w:asciiTheme="minorEastAsia" w:hAnsiTheme="minorEastAsia" w:eastAsiaTheme="minorEastAsia"/>
        </w:rPr>
        <w:t>具有整点测量功能</w:t>
      </w:r>
      <w:r>
        <w:rPr>
          <w:rFonts w:hint="eastAsia" w:ascii="宋体" w:hAnsi="宋体" w:cs="Arial"/>
          <w:szCs w:val="21"/>
        </w:rPr>
        <w:t>，更符合临床记录习惯，提高护理效率</w:t>
      </w:r>
      <w:r>
        <w:rPr>
          <w:rFonts w:hint="eastAsia" w:asciiTheme="minorEastAsia" w:hAnsiTheme="minorEastAsia" w:eastAsiaTheme="minorEastAsia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</w:rPr>
        <w:t>NIBP可选择初始充气压力，提升测量的精准性和患者的舒适性。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★</w:t>
      </w:r>
      <w:r>
        <w:rPr>
          <w:rFonts w:hint="eastAsia" w:ascii="宋体" w:hAnsi="宋体"/>
        </w:rPr>
        <w:t>支持中文手写输入。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具有按键背光灯功能。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支持标准界面、大字体界面显示</w:t>
      </w:r>
      <w:r>
        <w:rPr>
          <w:rFonts w:hint="eastAsia" w:ascii="宋体" w:hAnsi="宋体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</w:rPr>
        <w:t>内置大容量锂电池，持续供电≥2小时，可外接锂电池延长供电时间8小时以上。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支持连接同品牌中央监护系统。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/>
        </w:rPr>
        <w:t>产品通过CE认证、</w:t>
      </w:r>
      <w:r>
        <w:rPr>
          <w:rFonts w:hint="eastAsia" w:ascii="宋体" w:hAnsi="宋体"/>
        </w:rPr>
        <w:t>C</w:t>
      </w:r>
      <w:r>
        <w:rPr>
          <w:rFonts w:ascii="宋体" w:hAnsi="宋体"/>
        </w:rPr>
        <w:t>FDA认证</w:t>
      </w:r>
      <w:r>
        <w:rPr>
          <w:rFonts w:hint="eastAsia" w:ascii="宋体" w:hAnsi="宋体"/>
        </w:rPr>
        <w:t>。</w:t>
      </w:r>
    </w:p>
    <w:p>
      <w:pPr>
        <w:spacing w:line="360" w:lineRule="auto"/>
        <w:ind w:left="360"/>
        <w:rPr>
          <w:rFonts w:ascii="宋体" w:hAnsi="宋体"/>
          <w:color w:val="000000"/>
          <w:szCs w:val="21"/>
        </w:rPr>
      </w:pPr>
    </w:p>
    <w:p>
      <w:pPr>
        <w:spacing w:line="360" w:lineRule="auto"/>
        <w:ind w:left="360"/>
        <w:rPr>
          <w:rFonts w:ascii="宋体" w:hAnsi="宋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D525A"/>
    <w:multiLevelType w:val="multilevel"/>
    <w:tmpl w:val="597D52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b w:val="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7F10BD"/>
    <w:rsid w:val="00004F42"/>
    <w:rsid w:val="00005396"/>
    <w:rsid w:val="00030423"/>
    <w:rsid w:val="00030A1F"/>
    <w:rsid w:val="0003592B"/>
    <w:rsid w:val="00036F32"/>
    <w:rsid w:val="000378AB"/>
    <w:rsid w:val="000433F9"/>
    <w:rsid w:val="000A1E0D"/>
    <w:rsid w:val="000A35FC"/>
    <w:rsid w:val="000D1559"/>
    <w:rsid w:val="000D6167"/>
    <w:rsid w:val="000D7838"/>
    <w:rsid w:val="000E6F58"/>
    <w:rsid w:val="000F31AA"/>
    <w:rsid w:val="000F5373"/>
    <w:rsid w:val="0010774B"/>
    <w:rsid w:val="001332FE"/>
    <w:rsid w:val="00143500"/>
    <w:rsid w:val="00146D23"/>
    <w:rsid w:val="0015390C"/>
    <w:rsid w:val="001611A4"/>
    <w:rsid w:val="0016464F"/>
    <w:rsid w:val="00173A29"/>
    <w:rsid w:val="00175356"/>
    <w:rsid w:val="00185CDC"/>
    <w:rsid w:val="001A47C9"/>
    <w:rsid w:val="001A54C2"/>
    <w:rsid w:val="001B423C"/>
    <w:rsid w:val="001C0578"/>
    <w:rsid w:val="001C0960"/>
    <w:rsid w:val="001E0872"/>
    <w:rsid w:val="001E3CA9"/>
    <w:rsid w:val="001E3E8E"/>
    <w:rsid w:val="001E4B66"/>
    <w:rsid w:val="001E50ED"/>
    <w:rsid w:val="001E6EEA"/>
    <w:rsid w:val="001F0B91"/>
    <w:rsid w:val="001F2C14"/>
    <w:rsid w:val="001F365F"/>
    <w:rsid w:val="001F7D8A"/>
    <w:rsid w:val="00206B02"/>
    <w:rsid w:val="00217636"/>
    <w:rsid w:val="00222A05"/>
    <w:rsid w:val="00224022"/>
    <w:rsid w:val="00227A70"/>
    <w:rsid w:val="0023586E"/>
    <w:rsid w:val="00246A53"/>
    <w:rsid w:val="00260000"/>
    <w:rsid w:val="002679EC"/>
    <w:rsid w:val="002760AF"/>
    <w:rsid w:val="00276828"/>
    <w:rsid w:val="00282628"/>
    <w:rsid w:val="00284F94"/>
    <w:rsid w:val="002858CC"/>
    <w:rsid w:val="00287298"/>
    <w:rsid w:val="002A0F66"/>
    <w:rsid w:val="002A5CC5"/>
    <w:rsid w:val="002A73C6"/>
    <w:rsid w:val="002B7416"/>
    <w:rsid w:val="002C2FBD"/>
    <w:rsid w:val="002C5720"/>
    <w:rsid w:val="002E26B1"/>
    <w:rsid w:val="002F02A3"/>
    <w:rsid w:val="002F3EDB"/>
    <w:rsid w:val="003017B9"/>
    <w:rsid w:val="00302339"/>
    <w:rsid w:val="00303E10"/>
    <w:rsid w:val="00311BE2"/>
    <w:rsid w:val="00317835"/>
    <w:rsid w:val="00330A05"/>
    <w:rsid w:val="00331439"/>
    <w:rsid w:val="003332C7"/>
    <w:rsid w:val="00334F50"/>
    <w:rsid w:val="003458E2"/>
    <w:rsid w:val="00361E1B"/>
    <w:rsid w:val="0037415A"/>
    <w:rsid w:val="00375209"/>
    <w:rsid w:val="00385723"/>
    <w:rsid w:val="003872CB"/>
    <w:rsid w:val="0038788E"/>
    <w:rsid w:val="003944BF"/>
    <w:rsid w:val="00397063"/>
    <w:rsid w:val="0039769C"/>
    <w:rsid w:val="003A5094"/>
    <w:rsid w:val="003B47E1"/>
    <w:rsid w:val="003B719B"/>
    <w:rsid w:val="003C706A"/>
    <w:rsid w:val="003D3B7A"/>
    <w:rsid w:val="003D7255"/>
    <w:rsid w:val="003E01C5"/>
    <w:rsid w:val="003E4A16"/>
    <w:rsid w:val="0040151F"/>
    <w:rsid w:val="00406217"/>
    <w:rsid w:val="00407A33"/>
    <w:rsid w:val="0041433D"/>
    <w:rsid w:val="00417F33"/>
    <w:rsid w:val="00421AD2"/>
    <w:rsid w:val="00433034"/>
    <w:rsid w:val="0043703D"/>
    <w:rsid w:val="004437D4"/>
    <w:rsid w:val="004477CE"/>
    <w:rsid w:val="00450DED"/>
    <w:rsid w:val="00460650"/>
    <w:rsid w:val="004609A8"/>
    <w:rsid w:val="00460CF5"/>
    <w:rsid w:val="00464699"/>
    <w:rsid w:val="00464A68"/>
    <w:rsid w:val="004769B7"/>
    <w:rsid w:val="00485197"/>
    <w:rsid w:val="00492CEC"/>
    <w:rsid w:val="004A203D"/>
    <w:rsid w:val="004B2763"/>
    <w:rsid w:val="004B4C61"/>
    <w:rsid w:val="004B5EBE"/>
    <w:rsid w:val="004C781C"/>
    <w:rsid w:val="004E381B"/>
    <w:rsid w:val="004E4BF7"/>
    <w:rsid w:val="004F54F2"/>
    <w:rsid w:val="00500E9F"/>
    <w:rsid w:val="00502B84"/>
    <w:rsid w:val="00512F79"/>
    <w:rsid w:val="0052221C"/>
    <w:rsid w:val="00526699"/>
    <w:rsid w:val="005269CD"/>
    <w:rsid w:val="00530980"/>
    <w:rsid w:val="00531F03"/>
    <w:rsid w:val="00536045"/>
    <w:rsid w:val="005433F0"/>
    <w:rsid w:val="00553ED8"/>
    <w:rsid w:val="0056210E"/>
    <w:rsid w:val="00564786"/>
    <w:rsid w:val="005649F6"/>
    <w:rsid w:val="0056703B"/>
    <w:rsid w:val="00570B20"/>
    <w:rsid w:val="005844DC"/>
    <w:rsid w:val="00584EE6"/>
    <w:rsid w:val="00596EAE"/>
    <w:rsid w:val="005B6B64"/>
    <w:rsid w:val="005C7508"/>
    <w:rsid w:val="005D13D9"/>
    <w:rsid w:val="005E2364"/>
    <w:rsid w:val="00606E60"/>
    <w:rsid w:val="0061196A"/>
    <w:rsid w:val="0064761A"/>
    <w:rsid w:val="006531BA"/>
    <w:rsid w:val="00661755"/>
    <w:rsid w:val="006637FD"/>
    <w:rsid w:val="00671CB4"/>
    <w:rsid w:val="006736D3"/>
    <w:rsid w:val="0067479B"/>
    <w:rsid w:val="006747FA"/>
    <w:rsid w:val="00682F05"/>
    <w:rsid w:val="006A1AE8"/>
    <w:rsid w:val="006A5A18"/>
    <w:rsid w:val="006B2E14"/>
    <w:rsid w:val="006B343A"/>
    <w:rsid w:val="006D5DED"/>
    <w:rsid w:val="006E20F8"/>
    <w:rsid w:val="006E5D6B"/>
    <w:rsid w:val="006E6B8F"/>
    <w:rsid w:val="006F36A0"/>
    <w:rsid w:val="006F3983"/>
    <w:rsid w:val="00712C22"/>
    <w:rsid w:val="00714B97"/>
    <w:rsid w:val="0072045F"/>
    <w:rsid w:val="007225DF"/>
    <w:rsid w:val="00722F9E"/>
    <w:rsid w:val="00732FF2"/>
    <w:rsid w:val="007376EA"/>
    <w:rsid w:val="00760620"/>
    <w:rsid w:val="007632A4"/>
    <w:rsid w:val="0077113D"/>
    <w:rsid w:val="00774ED1"/>
    <w:rsid w:val="0077659E"/>
    <w:rsid w:val="00795DAD"/>
    <w:rsid w:val="007C2638"/>
    <w:rsid w:val="007C542D"/>
    <w:rsid w:val="007C609A"/>
    <w:rsid w:val="007E5C21"/>
    <w:rsid w:val="007F10BD"/>
    <w:rsid w:val="00817139"/>
    <w:rsid w:val="00826DE0"/>
    <w:rsid w:val="008335A3"/>
    <w:rsid w:val="008348AB"/>
    <w:rsid w:val="008374DC"/>
    <w:rsid w:val="00860F32"/>
    <w:rsid w:val="008623BE"/>
    <w:rsid w:val="0087168F"/>
    <w:rsid w:val="00872D4A"/>
    <w:rsid w:val="008916F9"/>
    <w:rsid w:val="008A3CCE"/>
    <w:rsid w:val="008A70DD"/>
    <w:rsid w:val="008B21EC"/>
    <w:rsid w:val="008B33B1"/>
    <w:rsid w:val="008B45C4"/>
    <w:rsid w:val="008C12A9"/>
    <w:rsid w:val="008D4F82"/>
    <w:rsid w:val="008E0C92"/>
    <w:rsid w:val="008E76D8"/>
    <w:rsid w:val="008F00BA"/>
    <w:rsid w:val="008F0DE5"/>
    <w:rsid w:val="00901246"/>
    <w:rsid w:val="00903473"/>
    <w:rsid w:val="009074C7"/>
    <w:rsid w:val="00911182"/>
    <w:rsid w:val="009117EE"/>
    <w:rsid w:val="009309A4"/>
    <w:rsid w:val="00932785"/>
    <w:rsid w:val="00936171"/>
    <w:rsid w:val="00950002"/>
    <w:rsid w:val="009724BC"/>
    <w:rsid w:val="0098568F"/>
    <w:rsid w:val="00990E48"/>
    <w:rsid w:val="009919AD"/>
    <w:rsid w:val="009A2205"/>
    <w:rsid w:val="009A39D5"/>
    <w:rsid w:val="009A4A8D"/>
    <w:rsid w:val="009B19AF"/>
    <w:rsid w:val="009B5095"/>
    <w:rsid w:val="009C2E9E"/>
    <w:rsid w:val="009E0A40"/>
    <w:rsid w:val="009E1295"/>
    <w:rsid w:val="009E79A6"/>
    <w:rsid w:val="009F5E05"/>
    <w:rsid w:val="00A000A5"/>
    <w:rsid w:val="00A04FF2"/>
    <w:rsid w:val="00A07868"/>
    <w:rsid w:val="00A14E1F"/>
    <w:rsid w:val="00A243DA"/>
    <w:rsid w:val="00A42D3D"/>
    <w:rsid w:val="00A44E12"/>
    <w:rsid w:val="00A460AD"/>
    <w:rsid w:val="00A64E9A"/>
    <w:rsid w:val="00A678D1"/>
    <w:rsid w:val="00A85326"/>
    <w:rsid w:val="00A94B86"/>
    <w:rsid w:val="00AA2D15"/>
    <w:rsid w:val="00AC14C9"/>
    <w:rsid w:val="00AD305D"/>
    <w:rsid w:val="00AD4054"/>
    <w:rsid w:val="00AD5635"/>
    <w:rsid w:val="00B01499"/>
    <w:rsid w:val="00B067FC"/>
    <w:rsid w:val="00B12400"/>
    <w:rsid w:val="00B215DA"/>
    <w:rsid w:val="00B2260F"/>
    <w:rsid w:val="00B30BCE"/>
    <w:rsid w:val="00B33298"/>
    <w:rsid w:val="00B43D85"/>
    <w:rsid w:val="00B538B2"/>
    <w:rsid w:val="00B56BC4"/>
    <w:rsid w:val="00B63F24"/>
    <w:rsid w:val="00B64F3B"/>
    <w:rsid w:val="00B67A4B"/>
    <w:rsid w:val="00B719F5"/>
    <w:rsid w:val="00B72E70"/>
    <w:rsid w:val="00B76088"/>
    <w:rsid w:val="00B85200"/>
    <w:rsid w:val="00B9650D"/>
    <w:rsid w:val="00BB3A6E"/>
    <w:rsid w:val="00BB5ABB"/>
    <w:rsid w:val="00BC055F"/>
    <w:rsid w:val="00BC1BBE"/>
    <w:rsid w:val="00BC5AA6"/>
    <w:rsid w:val="00BD4FD6"/>
    <w:rsid w:val="00BE0C04"/>
    <w:rsid w:val="00C04CE3"/>
    <w:rsid w:val="00C12163"/>
    <w:rsid w:val="00C1280E"/>
    <w:rsid w:val="00C15591"/>
    <w:rsid w:val="00C25006"/>
    <w:rsid w:val="00C301A1"/>
    <w:rsid w:val="00C3489D"/>
    <w:rsid w:val="00C3563A"/>
    <w:rsid w:val="00C66FDB"/>
    <w:rsid w:val="00C70789"/>
    <w:rsid w:val="00C938B5"/>
    <w:rsid w:val="00CA2D17"/>
    <w:rsid w:val="00CB0660"/>
    <w:rsid w:val="00CC0B58"/>
    <w:rsid w:val="00CC6952"/>
    <w:rsid w:val="00CC6B28"/>
    <w:rsid w:val="00CD13C2"/>
    <w:rsid w:val="00CD1BD5"/>
    <w:rsid w:val="00CD7D15"/>
    <w:rsid w:val="00CE0D44"/>
    <w:rsid w:val="00CE70AF"/>
    <w:rsid w:val="00CF49D4"/>
    <w:rsid w:val="00CF72D2"/>
    <w:rsid w:val="00D07562"/>
    <w:rsid w:val="00D21046"/>
    <w:rsid w:val="00D30061"/>
    <w:rsid w:val="00D34A6A"/>
    <w:rsid w:val="00D35F0E"/>
    <w:rsid w:val="00D477E4"/>
    <w:rsid w:val="00D52966"/>
    <w:rsid w:val="00D568AA"/>
    <w:rsid w:val="00D570D0"/>
    <w:rsid w:val="00D6049B"/>
    <w:rsid w:val="00D61EC7"/>
    <w:rsid w:val="00D65705"/>
    <w:rsid w:val="00D6660E"/>
    <w:rsid w:val="00D73F1B"/>
    <w:rsid w:val="00D8049B"/>
    <w:rsid w:val="00D948DB"/>
    <w:rsid w:val="00D97191"/>
    <w:rsid w:val="00DA43D6"/>
    <w:rsid w:val="00DA464D"/>
    <w:rsid w:val="00DA6131"/>
    <w:rsid w:val="00DC0A28"/>
    <w:rsid w:val="00DD0D17"/>
    <w:rsid w:val="00DF231B"/>
    <w:rsid w:val="00DF7C3E"/>
    <w:rsid w:val="00E04210"/>
    <w:rsid w:val="00E077BF"/>
    <w:rsid w:val="00E328AB"/>
    <w:rsid w:val="00E5783B"/>
    <w:rsid w:val="00E74084"/>
    <w:rsid w:val="00E8052B"/>
    <w:rsid w:val="00E93094"/>
    <w:rsid w:val="00E9425F"/>
    <w:rsid w:val="00E97F29"/>
    <w:rsid w:val="00EA59FA"/>
    <w:rsid w:val="00EB1349"/>
    <w:rsid w:val="00EC12C0"/>
    <w:rsid w:val="00EC1F71"/>
    <w:rsid w:val="00ED22DF"/>
    <w:rsid w:val="00ED5EFE"/>
    <w:rsid w:val="00ED6242"/>
    <w:rsid w:val="00ED7F2A"/>
    <w:rsid w:val="00EF0B8B"/>
    <w:rsid w:val="00F00265"/>
    <w:rsid w:val="00F04461"/>
    <w:rsid w:val="00F21E10"/>
    <w:rsid w:val="00F365C1"/>
    <w:rsid w:val="00F403A8"/>
    <w:rsid w:val="00F40DD2"/>
    <w:rsid w:val="00F42D78"/>
    <w:rsid w:val="00F46E30"/>
    <w:rsid w:val="00F47E7D"/>
    <w:rsid w:val="00F539EC"/>
    <w:rsid w:val="00F56A1B"/>
    <w:rsid w:val="00F62B7D"/>
    <w:rsid w:val="00F95395"/>
    <w:rsid w:val="00FA4255"/>
    <w:rsid w:val="00FB4802"/>
    <w:rsid w:val="00FC110A"/>
    <w:rsid w:val="00FE1281"/>
    <w:rsid w:val="00FF3B5B"/>
    <w:rsid w:val="00FF4045"/>
    <w:rsid w:val="4B536C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semiHidden/>
    <w:unhideWhenUsed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9">
    <w:name w:val="annotation subject"/>
    <w:basedOn w:val="4"/>
    <w:next w:val="4"/>
    <w:link w:val="20"/>
    <w:semiHidden/>
    <w:unhideWhenUsed/>
    <w:uiPriority w:val="99"/>
    <w:rPr>
      <w:b/>
      <w:bCs/>
    </w:r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标题 3 Char"/>
    <w:basedOn w:val="11"/>
    <w:link w:val="3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批注文字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Char"/>
    <w:basedOn w:val="19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批注框文本 Char"/>
    <w:basedOn w:val="11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106</Words>
  <Characters>610</Characters>
  <Lines>5</Lines>
  <Paragraphs>1</Paragraphs>
  <TotalTime>939</TotalTime>
  <ScaleCrop>false</ScaleCrop>
  <LinksUpToDate>false</LinksUpToDate>
  <CharactersWithSpaces>715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2014-06-18T06:50:00Z</dcterms:created>
  <dc:creator>王汉宜</dc:creator>
  <cp:lastModifiedBy>HUAWEI</cp:lastModifiedBy>
  <dcterms:modified xsi:type="dcterms:W3CDTF">2022-06-17T04:01:59Z</dcterms:modified>
  <dc:subject>C30</dc:subject>
  <dc:title>招标参数</dc:title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A118DD00FF0843E39D2D34C5FE4AC71A</vt:lpwstr>
  </property>
</Properties>
</file>